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36" w:lineRule="exact"/>
        <w:ind w:right="224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bookmarkStart w:id="0" w:name="_Hlk103330815"/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山东省碳普惠体系建设工作方案</w:t>
      </w:r>
    </w:p>
    <w:bookmarkEnd w:id="0"/>
    <w:p>
      <w:pPr>
        <w:spacing w:line="600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</w:rPr>
        <w:t>征求意见</w:t>
      </w:r>
      <w:r>
        <w:rPr>
          <w:rFonts w:eastAsia="楷体_GB2312"/>
          <w:sz w:val="32"/>
          <w:szCs w:val="32"/>
        </w:rPr>
        <w:t>稿）</w:t>
      </w:r>
    </w:p>
    <w:p>
      <w:pPr>
        <w:spacing w:line="600" w:lineRule="exact"/>
        <w:jc w:val="center"/>
        <w:rPr>
          <w:rFonts w:eastAsia="楷体_GB2312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ind w:right="-57" w:rightChars="-27"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为深入贯彻习近平生态文明思想，落实碳达峰、碳中和目标，践行绿色发展理念，健</w:t>
      </w:r>
      <w:bookmarkStart w:id="2" w:name="_GoBack"/>
      <w:bookmarkEnd w:id="2"/>
      <w:r>
        <w:rPr>
          <w:rFonts w:ascii="Times New Roman" w:hAnsi="Times New Roman" w:eastAsia="仿宋_GB2312" w:cs="Times New Roman"/>
          <w:kern w:val="0"/>
          <w:sz w:val="32"/>
          <w:szCs w:val="32"/>
        </w:rPr>
        <w:t>全生态产品价值实现机制，构建全民参与的碳普惠体系，充分调动全社会节能降碳的积极性，促进形成绿色低碳的生产生活和消费方式，制定本方案。</w:t>
      </w: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ind w:right="-57" w:rightChars="-27" w:firstLine="640" w:firstLineChars="200"/>
        <w:jc w:val="lef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一、指导思想</w:t>
      </w: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ind w:right="-57" w:rightChars="-27"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以习近平生态文明思想为指导，坚持“政府引导、市场运作、全民参与”原则，鼓励开发碳普惠项目，积极拓宽消纳渠道，构建可持续发展的碳普惠体系，倡导简约适度、文明健康的生活方式，弘扬绿色低碳理念，助力实现碳达峰碳中和。</w:t>
      </w: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ind w:right="-57" w:rightChars="-27" w:firstLine="640" w:firstLineChars="200"/>
        <w:jc w:val="lef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二、主要目标</w:t>
      </w: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ind w:right="-57" w:rightChars="-27"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2022—2023年，形成碳普惠体系顶层设计，构建相关制度标准和方法学体系，搭建碳普惠平台，建立个人碳账户，探索建立多层次碳普惠核证减排量消纳渠道。</w:t>
      </w: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ind w:right="-57" w:rightChars="-27"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2024—2025年，逐步完善碳普惠体系，扩大碳普惠覆盖范围和项目类型，基本形成规则清晰、场景多样、发展可持续的碳普惠生态圈。</w:t>
      </w: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ind w:right="-57" w:rightChars="-27" w:firstLine="640" w:firstLineChars="200"/>
        <w:jc w:val="lef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三、重点任务</w:t>
      </w: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ind w:right="-57" w:rightChars="-27" w:firstLine="640" w:firstLineChars="200"/>
        <w:jc w:val="left"/>
        <w:rPr>
          <w:rFonts w:ascii="楷体_GB2312" w:hAnsi="Times New Roman" w:eastAsia="楷体_GB2312" w:cs="Times New Roman"/>
          <w:bCs/>
          <w:kern w:val="0"/>
          <w:sz w:val="32"/>
          <w:szCs w:val="32"/>
        </w:rPr>
      </w:pPr>
      <w:r>
        <w:rPr>
          <w:rFonts w:hint="eastAsia" w:ascii="楷体_GB2312" w:hAnsi="Times New Roman" w:eastAsia="楷体_GB2312" w:cs="Times New Roman"/>
          <w:bCs/>
          <w:kern w:val="0"/>
          <w:sz w:val="32"/>
          <w:szCs w:val="32"/>
        </w:rPr>
        <w:t>（一）建立科学、高效的管理制度体系</w:t>
      </w: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ind w:right="-57" w:rightChars="-27"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1.构建碳普惠制度体系。制定山东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碳普惠管理办法等政策文件，建立碳普惠体系的相关制度、技术标准、业务流程和操作规范等配套措施，明确各参与主体的权利和责任，为碳普惠体系的建设运营和监督管理提供政策保障。</w:t>
      </w: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ind w:right="-57" w:rightChars="-27"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.搭建碳普惠体系架构。依托相关专业机构承担全省碳普惠机制的管理和运营职能，在济南、青岛、烟台、潍坊、威海等低碳发展基础较好的城市设立区域运营分中心，省、市上下衔接、一体联动，扎实高效推进碳普惠工作有序开展。</w:t>
      </w:r>
    </w:p>
    <w:p>
      <w:pPr>
        <w:overflowPunct w:val="0"/>
        <w:snapToGrid w:val="0"/>
        <w:spacing w:line="600" w:lineRule="exact"/>
        <w:ind w:right="-57" w:rightChars="-27"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3.推动建立黄河流域碳普惠合作机制。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加强与黄河流域其他省市在碳普惠顶层设计、平台建设等方面的合作，吸引黄河流域其他省市共建碳普惠体系。</w:t>
      </w: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ind w:right="-57" w:rightChars="-27" w:firstLine="640" w:firstLineChars="200"/>
        <w:jc w:val="left"/>
        <w:rPr>
          <w:rFonts w:ascii="楷体_GB2312" w:hAnsi="Times New Roman" w:eastAsia="楷体_GB2312" w:cs="Times New Roman"/>
          <w:bCs/>
          <w:kern w:val="0"/>
          <w:sz w:val="32"/>
          <w:szCs w:val="32"/>
        </w:rPr>
      </w:pPr>
      <w:r>
        <w:rPr>
          <w:rFonts w:ascii="楷体_GB2312" w:hAnsi="Times New Roman" w:eastAsia="楷体_GB2312" w:cs="Times New Roman"/>
          <w:bCs/>
          <w:kern w:val="0"/>
          <w:sz w:val="32"/>
          <w:szCs w:val="32"/>
        </w:rPr>
        <w:t>（二）建立专业、规范的技术支撑体系</w:t>
      </w:r>
    </w:p>
    <w:p>
      <w:pPr>
        <w:overflowPunct w:val="0"/>
        <w:snapToGrid w:val="0"/>
        <w:spacing w:line="600" w:lineRule="exact"/>
        <w:ind w:right="-57" w:rightChars="-27"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4.建立山东碳普惠平台。建立具备碳普惠核证减排量核算、备案、签发、转移登记和消纳以及政策发布、信息披露、监督管理等功能的山东碳普惠平台。将绿色出行、绿色消费、低碳生活等具有广泛公众基础和数据支撑的“通用型”场景和彰显地域特点的“特色型”项目纳入碳普惠平台。基于公开、公平的原则，积极吸引社会资本参与，保障山东碳普惠机制市场化运行的可持续性。</w:t>
      </w:r>
    </w:p>
    <w:p>
      <w:pPr>
        <w:overflowPunct w:val="0"/>
        <w:snapToGrid w:val="0"/>
        <w:spacing w:line="600" w:lineRule="exact"/>
        <w:ind w:right="-57" w:rightChars="-27"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5.开发碳普惠应用程序。探索开发基于绿色出行、绿色消费、低碳生活等场景的碳普惠应用程序，建立个人碳账户体系，并与碳普惠平台实现互联互通，及时向平台用户展示低碳行为数据，探索通过积分兑换商业优惠券或服务等方式激励社会公众参与减排。</w:t>
      </w:r>
    </w:p>
    <w:p>
      <w:pPr>
        <w:overflowPunct w:val="0"/>
        <w:snapToGrid w:val="0"/>
        <w:spacing w:line="600" w:lineRule="exact"/>
        <w:ind w:right="-57" w:rightChars="-27"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6.设立碳普惠专家委员会。成立由业内知名专家、学者组成的碳普惠专家委员会，负责碳普惠方法学的技术评估，为管理部门决策提供有效支撑，确保相关标准和方法学客观公正、严谨易行。</w:t>
      </w: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ind w:right="-57" w:rightChars="-27" w:firstLine="640" w:firstLineChars="200"/>
        <w:jc w:val="left"/>
        <w:rPr>
          <w:rFonts w:ascii="楷体_GB2312" w:hAnsi="Times New Roman" w:eastAsia="楷体_GB2312" w:cs="Times New Roman"/>
          <w:bCs/>
          <w:kern w:val="0"/>
          <w:sz w:val="32"/>
          <w:szCs w:val="32"/>
        </w:rPr>
      </w:pPr>
      <w:r>
        <w:rPr>
          <w:rFonts w:ascii="楷体_GB2312" w:hAnsi="Times New Roman" w:eastAsia="楷体_GB2312" w:cs="Times New Roman"/>
          <w:bCs/>
          <w:kern w:val="0"/>
          <w:sz w:val="32"/>
          <w:szCs w:val="32"/>
        </w:rPr>
        <w:t>（三）建立有序、完善的项目开发体系</w:t>
      </w: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ind w:right="-57" w:rightChars="-27"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7.制定碳普惠方法学。结合山东省绿色低碳发展要求，基于绿色消费、低碳生活等场景，着力开发公共出行、公益类减排项目等领域方法学，规范碳普惠核证减排量的核算。引导和鼓励企事业单位、行业协会等自主开发、申报方法学，经审核通过后予以备案和推广。</w:t>
      </w: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ind w:right="-57" w:rightChars="-27"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8.建立碳普惠项目库。对全省碳普惠项目建档入库，实行统一管理，定期向项目方推送政策优惠、融资需求等信息，为碳普惠项目提供多元化支持。</w:t>
      </w: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ind w:right="-57" w:rightChars="-27"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9.开发区域特色项目。着力推进具有山东特色的农业碳汇、林业碳汇、湿地碳汇和海洋碳汇等碳普惠项目开发。</w:t>
      </w: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ind w:right="-57" w:rightChars="-27" w:firstLine="640" w:firstLineChars="200"/>
        <w:jc w:val="left"/>
        <w:rPr>
          <w:rFonts w:ascii="楷体_GB2312" w:hAnsi="Times New Roman" w:eastAsia="楷体_GB2312" w:cs="Times New Roman"/>
          <w:bCs/>
          <w:kern w:val="0"/>
          <w:sz w:val="32"/>
          <w:szCs w:val="32"/>
        </w:rPr>
      </w:pPr>
      <w:r>
        <w:rPr>
          <w:rFonts w:ascii="楷体_GB2312" w:hAnsi="Times New Roman" w:eastAsia="楷体_GB2312" w:cs="Times New Roman"/>
          <w:bCs/>
          <w:kern w:val="0"/>
          <w:sz w:val="32"/>
          <w:szCs w:val="32"/>
        </w:rPr>
        <w:t>（四）建立持续、良性的碳减排量消纳体系</w:t>
      </w:r>
    </w:p>
    <w:p>
      <w:pPr>
        <w:overflowPunct w:val="0"/>
        <w:snapToGrid w:val="0"/>
        <w:spacing w:line="600" w:lineRule="exact"/>
        <w:ind w:right="-57" w:rightChars="-27"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10.鼓励通过使用</w:t>
      </w:r>
      <w:bookmarkStart w:id="1" w:name="_Hlk101422482"/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碳普惠核证减排量</w:t>
      </w:r>
      <w:bookmarkEnd w:id="1"/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实现碳中和。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在《大型活动碳中和实施指南（试行）》（生态环境部公告2019年第19号）等文件基础上，出台山东省大型活动碳中和实施方案，充分挖掘双碳目标下的自愿碳中和需求，鼓励政府机关、企事业单位、社会组织和个人优先使用碳普惠核证减排量开展碳中和。</w:t>
      </w:r>
    </w:p>
    <w:p>
      <w:pPr>
        <w:overflowPunct w:val="0"/>
        <w:snapToGrid w:val="0"/>
        <w:spacing w:line="600" w:lineRule="exact"/>
        <w:ind w:right="-57" w:rightChars="-27"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11.鼓励低碳试点使用碳普惠核证减排量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支持省内低碳社区试点、低碳工业园区试点等低碳试点有限使用碳普惠核证减排量。</w:t>
      </w:r>
    </w:p>
    <w:p>
      <w:pPr>
        <w:overflowPunct w:val="0"/>
        <w:snapToGrid w:val="0"/>
        <w:spacing w:line="600" w:lineRule="exact"/>
        <w:ind w:right="-57" w:rightChars="-27"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12.打造碳普惠生态圈。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积极拓展多元消纳渠道，鼓励通过碳普惠积分换权益等方式消纳碳普惠核证减排量，不断提升积分使用价值，持续刺激消费活力，真正实现公众和商家双重受益，进一步推动全社会节能减排。</w:t>
      </w:r>
    </w:p>
    <w:p>
      <w:pPr>
        <w:overflowPunct w:val="0"/>
        <w:snapToGrid w:val="0"/>
        <w:spacing w:line="600" w:lineRule="exact"/>
        <w:ind w:right="-57" w:rightChars="-27"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13.积极对接国家级绿色交易平台消纳通道。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扩展、延伸碳普惠体系的区域发展产业链，保障碳普惠体系的可持续健康发展。</w:t>
      </w: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ind w:right="-57" w:rightChars="-27" w:firstLine="640" w:firstLineChars="200"/>
        <w:jc w:val="left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ascii="黑体" w:hAnsi="黑体" w:eastAsia="黑体" w:cs="Times New Roman"/>
          <w:kern w:val="0"/>
          <w:sz w:val="32"/>
          <w:szCs w:val="32"/>
        </w:rPr>
        <w:t>四、保障措施</w:t>
      </w:r>
    </w:p>
    <w:p>
      <w:pPr>
        <w:overflowPunct w:val="0"/>
        <w:snapToGrid w:val="0"/>
        <w:spacing w:line="600" w:lineRule="exact"/>
        <w:ind w:right="-57" w:rightChars="-27"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楷体_GB2312" w:hAnsi="Times New Roman" w:eastAsia="楷体_GB2312" w:cs="Times New Roman"/>
          <w:bCs/>
          <w:kern w:val="0"/>
          <w:sz w:val="32"/>
          <w:szCs w:val="32"/>
        </w:rPr>
        <w:t>（一）加强统筹协调。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建立全省碳普惠工作推进机制，把碳普惠体系建设作为应对气候变化的重点工作，加强对碳普惠体系建设的指导和协调。各部门要结合工作职责相互配合，积极支持碳普惠体系建设的相关工作。省生态环境厅作为牵头单位，要加快推进碳普惠体系整体框架设计、方法学开发、平台建设运营等工作。</w:t>
      </w:r>
    </w:p>
    <w:p>
      <w:pPr>
        <w:overflowPunct w:val="0"/>
        <w:snapToGrid w:val="0"/>
        <w:spacing w:line="600" w:lineRule="exact"/>
        <w:ind w:right="-57" w:rightChars="-27"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楷体_GB2312" w:hAnsi="Times New Roman" w:eastAsia="楷体_GB2312" w:cs="Times New Roman"/>
          <w:bCs/>
          <w:kern w:val="0"/>
          <w:sz w:val="32"/>
          <w:szCs w:val="32"/>
        </w:rPr>
        <w:t>（二）强化支撑保障。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借助专家智库力量，为碳普惠体系建设提供技术支撑。加快推进碳普惠体系建设与运营，相关单位积极配合信息采集、系统对接、数据共享等工作。积极吸引社会资本参与，保障碳普惠机制市场化的可持续性。</w:t>
      </w:r>
    </w:p>
    <w:p>
      <w:pPr>
        <w:overflowPunct w:val="0"/>
        <w:snapToGrid w:val="0"/>
        <w:spacing w:line="600" w:lineRule="exact"/>
        <w:ind w:right="-57" w:rightChars="-27"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楷体_GB2312" w:hAnsi="Times New Roman" w:eastAsia="楷体_GB2312" w:cs="Times New Roman"/>
          <w:bCs/>
          <w:kern w:val="0"/>
          <w:sz w:val="32"/>
          <w:szCs w:val="32"/>
        </w:rPr>
        <w:t>（三）加强监督管理。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强化监督检查，建立健全监督评估机制，加强碳普惠项目开发引导和审核管理，加强碳普惠核证减排量备案、签发、登记、消纳、价值兑现等全流程监管，保障碳普惠体系的规范、标准、公开、透明。</w:t>
      </w:r>
    </w:p>
    <w:p>
      <w:pPr>
        <w:overflowPunct w:val="0"/>
        <w:snapToGrid w:val="0"/>
        <w:spacing w:line="600" w:lineRule="exact"/>
        <w:ind w:right="-57" w:rightChars="-27"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bCs/>
          <w:kern w:val="0"/>
          <w:sz w:val="32"/>
          <w:szCs w:val="32"/>
        </w:rPr>
        <w:t>（四）注重宣传引导。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加强碳普惠宣传推广工作，充分利用电视、报刊、广播和网络新媒体等宣传方式，广泛宣传碳普惠与双碳政策。利用世界环境日、全国低碳日、节能宣传周等重要活动积极推广先进案例，营造全社会践行绿色低碳理念的良好氛围。</w:t>
      </w:r>
    </w:p>
    <w:sectPr>
      <w:pgSz w:w="11906" w:h="16838"/>
      <w:pgMar w:top="1871" w:right="1418" w:bottom="164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Y0NDY3MTdlZDE0NjUxMTE2ODQzMmY5MGVlM2VhYzcifQ=="/>
  </w:docVars>
  <w:rsids>
    <w:rsidRoot w:val="00B00BDF"/>
    <w:rsid w:val="000A1008"/>
    <w:rsid w:val="000D6451"/>
    <w:rsid w:val="000D7354"/>
    <w:rsid w:val="0011592C"/>
    <w:rsid w:val="00187ED2"/>
    <w:rsid w:val="001A1A00"/>
    <w:rsid w:val="001B6E52"/>
    <w:rsid w:val="001E3C7A"/>
    <w:rsid w:val="00222EB1"/>
    <w:rsid w:val="002B4D34"/>
    <w:rsid w:val="003225DF"/>
    <w:rsid w:val="00332140"/>
    <w:rsid w:val="003505AF"/>
    <w:rsid w:val="00365F51"/>
    <w:rsid w:val="003A050A"/>
    <w:rsid w:val="003D6F1C"/>
    <w:rsid w:val="004579BA"/>
    <w:rsid w:val="00473443"/>
    <w:rsid w:val="0051260C"/>
    <w:rsid w:val="00514096"/>
    <w:rsid w:val="005B27A1"/>
    <w:rsid w:val="005D106B"/>
    <w:rsid w:val="0060724A"/>
    <w:rsid w:val="00704F6F"/>
    <w:rsid w:val="0071781C"/>
    <w:rsid w:val="007C5480"/>
    <w:rsid w:val="00807017"/>
    <w:rsid w:val="00845378"/>
    <w:rsid w:val="008529E5"/>
    <w:rsid w:val="0086110C"/>
    <w:rsid w:val="008822BD"/>
    <w:rsid w:val="008E4E87"/>
    <w:rsid w:val="008E6375"/>
    <w:rsid w:val="009B305B"/>
    <w:rsid w:val="00A719A0"/>
    <w:rsid w:val="00AF7F4C"/>
    <w:rsid w:val="00B00BDF"/>
    <w:rsid w:val="00B023D5"/>
    <w:rsid w:val="00B347B7"/>
    <w:rsid w:val="00B42281"/>
    <w:rsid w:val="00B74C8C"/>
    <w:rsid w:val="00BC6CFD"/>
    <w:rsid w:val="00C17F1F"/>
    <w:rsid w:val="00C96C77"/>
    <w:rsid w:val="00CA73D3"/>
    <w:rsid w:val="00CC5E63"/>
    <w:rsid w:val="00DD0C56"/>
    <w:rsid w:val="00F84E43"/>
    <w:rsid w:val="00FC195A"/>
    <w:rsid w:val="00FE5678"/>
    <w:rsid w:val="0FC038F0"/>
    <w:rsid w:val="76CC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0D622-38AE-4749-838F-F445610D1F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2338</Words>
  <Characters>2419</Characters>
  <Lines>17</Lines>
  <Paragraphs>4</Paragraphs>
  <TotalTime>49</TotalTime>
  <ScaleCrop>false</ScaleCrop>
  <LinksUpToDate>false</LinksUpToDate>
  <CharactersWithSpaces>2446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2022-05-19T03:22:00Z</dcterms:created>
  <dc:creator>W. Tempo</dc:creator>
  <cp:lastModifiedBy>乾猫君</cp:lastModifiedBy>
  <cp:lastPrinted>2022-05-20T05:48:00Z</cp:lastPrinted>
  <dcterms:modified xsi:type="dcterms:W3CDTF">2022-05-20T07:07:13Z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B2DB110C5CD8484CA734370EFEDECC91</vt:lpwstr>
  </property>
</Properties>
</file>